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D30AF0" w14:textId="77777777" w:rsidR="00B25D23" w:rsidRPr="00561BBC" w:rsidRDefault="00000000">
      <w:pPr>
        <w:pStyle w:val="Heading1"/>
        <w:spacing w:before="0" w:after="120" w:line="275" w:lineRule="auto"/>
        <w:rPr>
          <w:rFonts w:ascii="Georgia" w:eastAsia="Google Sans" w:hAnsi="Georgia" w:cs="Google Sans"/>
          <w:color w:val="1B1C1D"/>
        </w:rPr>
      </w:pPr>
      <w:r w:rsidRPr="00561BBC">
        <w:rPr>
          <w:rFonts w:ascii="Segoe UI Emoji" w:eastAsia="Google Sans" w:hAnsi="Segoe UI Emoji" w:cs="Segoe UI Emoji"/>
          <w:color w:val="1B1C1D"/>
        </w:rPr>
        <w:t>📄</w:t>
      </w:r>
      <w:r w:rsidRPr="00561BBC">
        <w:rPr>
          <w:rFonts w:ascii="Georgia" w:eastAsia="Google Sans" w:hAnsi="Georgia" w:cs="Google Sans"/>
          <w:color w:val="1B1C1D"/>
        </w:rPr>
        <w:t xml:space="preserve"> BEAM: The Standard for the AI-Ready Metric Catalog</w:t>
      </w:r>
    </w:p>
    <w:p w14:paraId="31579439" w14:textId="77777777" w:rsidR="00B25D23" w:rsidRPr="00561BBC" w:rsidRDefault="00000000">
      <w:pPr>
        <w:pStyle w:val="Heading2"/>
        <w:spacing w:before="0" w:after="120" w:line="275" w:lineRule="auto"/>
        <w:rPr>
          <w:rFonts w:ascii="Georgia" w:eastAsia="Google Sans" w:hAnsi="Georgia" w:cs="Google Sans"/>
          <w:color w:val="1B1C1D"/>
        </w:rPr>
      </w:pPr>
      <w:r w:rsidRPr="00561BBC">
        <w:rPr>
          <w:rFonts w:ascii="Georgia" w:eastAsia="Google Sans" w:hAnsi="Georgia" w:cs="Google Sans"/>
          <w:color w:val="1B1C1D"/>
        </w:rPr>
        <w:t>Executive Vision: Future-Proofing Semantic Governance</w:t>
      </w:r>
    </w:p>
    <w:p w14:paraId="07DE0C14" w14:textId="18BDAC58" w:rsidR="00B25D23" w:rsidRPr="00561BBC" w:rsidRDefault="00CD550D">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The dbt Semantic Layer (for more details, see https://docs.getdbt.com/docs/use-dbt-semantic-layer/dbt-sl) functions as a crucial execution bridge that transforms an organization's physical data models into logical, reusable business concepts for use by BI tools and AI applications. The BEAM Methodology is the authoritative framework for translating business needs into data models.</w:t>
      </w:r>
    </w:p>
    <w:p w14:paraId="6C8205AC" w14:textId="43E8D455" w:rsidR="00B25D23" w:rsidRPr="00561BBC" w:rsidRDefault="00561BBC">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As organizations adopt automated, AI-ready metric catalogs, the challenge is not defining them but enforcing consistency at scale within the underlying Enterprise Data Model (EDM), which serves as the foundational blueprint of the data warehouse. We suggest a technological expansion that turns the BEAM Table into the direct, executable input for the dbt Semantic Layer.</w:t>
      </w:r>
    </w:p>
    <w:p w14:paraId="53209058" w14:textId="5208D54E" w:rsidR="00B25D23" w:rsidRPr="00561BBC" w:rsidRDefault="00561BBC">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This framework guarantees that the BEAM Table functions as the Zero-Translation Governance Contract. The Business Analyst's semantic intent, captured within BEAM, is automatically and consistently converted into code, establishing the BEAM standard as the authoritative source for all enterprise metrics.</w:t>
      </w:r>
    </w:p>
    <w:p w14:paraId="234E595C" w14:textId="77777777" w:rsidR="00B25D23" w:rsidRPr="00561BBC" w:rsidRDefault="00000000">
      <w:pPr>
        <w:pStyle w:val="Heading2"/>
        <w:spacing w:before="0" w:after="120" w:line="275" w:lineRule="auto"/>
        <w:rPr>
          <w:rFonts w:ascii="Georgia" w:eastAsia="Google Sans" w:hAnsi="Georgia" w:cs="Google Sans"/>
          <w:color w:val="1B1C1D"/>
        </w:rPr>
      </w:pPr>
      <w:r w:rsidRPr="00561BBC">
        <w:rPr>
          <w:rFonts w:ascii="Georgia" w:eastAsia="Google Sans" w:hAnsi="Georgia" w:cs="Google Sans"/>
          <w:color w:val="1B1C1D"/>
        </w:rPr>
        <w:t>1. The Strategic Role of the BEAM Table</w:t>
      </w:r>
    </w:p>
    <w:p w14:paraId="0FC6ECA6" w14:textId="46E916E7" w:rsidR="00B25D23" w:rsidRPr="00561BBC" w:rsidRDefault="00561BBC">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Our approach acknowledges that the BEAM Table is the benchmark for metric design. We focus on providing the technological infrastructure needed to uphold this standard in complex data environments. We view the BEAM Table not just as a documentation artifact but as a formal, machine-readable contract.</w:t>
      </w:r>
    </w:p>
    <w:p w14:paraId="5D71680E" w14:textId="77777777" w:rsidR="00B25D23" w:rsidRPr="00561BBC" w:rsidRDefault="00000000">
      <w:pPr>
        <w:pStyle w:val="Heading3"/>
        <w:spacing w:before="0" w:after="120" w:line="275" w:lineRule="auto"/>
        <w:rPr>
          <w:rFonts w:ascii="Georgia" w:eastAsia="Google Sans" w:hAnsi="Georgia" w:cs="Google Sans"/>
          <w:color w:val="1B1C1D"/>
        </w:rPr>
      </w:pPr>
      <w:r w:rsidRPr="00561BBC">
        <w:rPr>
          <w:rFonts w:ascii="Georgia" w:eastAsia="Google Sans" w:hAnsi="Georgia" w:cs="Google Sans"/>
          <w:color w:val="1B1C1D"/>
        </w:rPr>
        <w:t>BEAM Table Transformation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680"/>
        <w:gridCol w:w="4680"/>
      </w:tblGrid>
      <w:tr w:rsidR="00B25D23" w:rsidRPr="00561BBC" w14:paraId="7E258C33"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B1D36D"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Traditional BEAM Table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8DD7B"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BEAM for the AI Era (Executable Contract)</w:t>
            </w:r>
          </w:p>
        </w:tc>
      </w:tr>
      <w:tr w:rsidR="00B25D23" w:rsidRPr="00561BBC" w14:paraId="75E464B1"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07C8A"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b/>
                <w:color w:val="1B1C1D"/>
              </w:rPr>
              <w:t>Documentation Only</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365EEC"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b/>
                <w:color w:val="1B1C1D"/>
              </w:rPr>
              <w:t>Direct Code Input</w:t>
            </w:r>
          </w:p>
        </w:tc>
      </w:tr>
      <w:tr w:rsidR="00B25D23" w:rsidRPr="00561BBC" w14:paraId="3253B3BF"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F7C140" w14:textId="7B3DAF14"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color w:val="1B1C1D"/>
              </w:rPr>
              <w:t xml:space="preserve">Generates SQL that is detached from </w:t>
            </w:r>
            <w:r w:rsidR="00561BBC">
              <w:rPr>
                <w:rFonts w:ascii="Georgia" w:eastAsia="Google Sans Text" w:hAnsi="Georgia" w:cs="Google Sans Text"/>
                <w:color w:val="1B1C1D"/>
              </w:rPr>
              <w:t xml:space="preserve">the </w:t>
            </w:r>
            <w:r w:rsidRPr="00561BBC">
              <w:rPr>
                <w:rFonts w:ascii="Georgia" w:eastAsia="Google Sans Text" w:hAnsi="Georgia" w:cs="Google Sans Text"/>
                <w:b/>
                <w:color w:val="1B1C1D"/>
              </w:rPr>
              <w:t>Enterprise Data Model (</w:t>
            </w:r>
            <w:r w:rsidRPr="00561BBC">
              <w:rPr>
                <w:rFonts w:ascii="Georgia" w:eastAsia="Google Sans Text" w:hAnsi="Georgia" w:cs="Google Sans Text"/>
                <w:color w:val="1B1C1D"/>
              </w:rPr>
              <w:t>EDM</w:t>
            </w:r>
            <w:r w:rsidRPr="00561BBC">
              <w:rPr>
                <w:rFonts w:ascii="Georgia" w:eastAsia="Google Sans Text" w:hAnsi="Georgia" w:cs="Google Sans Text"/>
                <w:b/>
                <w:color w:val="1B1C1D"/>
              </w:rPr>
              <w:t>)</w:t>
            </w:r>
            <w:r w:rsidRPr="00561BBC">
              <w:rPr>
                <w:rFonts w:ascii="Georgia" w:eastAsia="Google Sans Text" w:hAnsi="Georgia" w:cs="Google Sans Text"/>
                <w:color w:val="1B1C1D"/>
              </w:rPr>
              <w:t xml:space="preserve"> DDL </w:t>
            </w:r>
            <w:r w:rsidRPr="00561BBC">
              <w:rPr>
                <w:rFonts w:ascii="Georgia" w:eastAsia="Google Sans Text" w:hAnsi="Georgia" w:cs="Google Sans Text"/>
                <w:b/>
                <w:color w:val="1B1C1D"/>
              </w:rPr>
              <w:t>enforcement</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BDA445" w14:textId="6DE6F7AC" w:rsidR="00B25D23" w:rsidRPr="00561BBC" w:rsidRDefault="00561BBC">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Generates Semantic</w:t>
            </w:r>
            <w:r w:rsidR="00000000" w:rsidRPr="00561BBC">
              <w:rPr>
                <w:rFonts w:ascii="Georgia" w:eastAsia="Google Sans Text" w:hAnsi="Georgia" w:cs="Google Sans Text"/>
                <w:color w:val="1B1C1D"/>
              </w:rPr>
              <w:t xml:space="preserve"> Layer code anchored to the </w:t>
            </w:r>
            <w:r w:rsidR="00000000" w:rsidRPr="00561BBC">
              <w:rPr>
                <w:rFonts w:ascii="Georgia" w:eastAsia="Google Sans Text" w:hAnsi="Georgia" w:cs="Google Sans Text"/>
                <w:b/>
                <w:color w:val="1B1C1D"/>
              </w:rPr>
              <w:t>Enterprise Data Model (</w:t>
            </w:r>
            <w:r w:rsidR="00000000" w:rsidRPr="00561BBC">
              <w:rPr>
                <w:rFonts w:ascii="Georgia" w:eastAsia="Google Sans Text" w:hAnsi="Georgia" w:cs="Google Sans Text"/>
                <w:color w:val="1B1C1D"/>
              </w:rPr>
              <w:t>EDM</w:t>
            </w:r>
            <w:r w:rsidR="00000000" w:rsidRPr="00561BBC">
              <w:rPr>
                <w:rFonts w:ascii="Georgia" w:eastAsia="Google Sans Text" w:hAnsi="Georgia" w:cs="Google Sans Text"/>
                <w:b/>
                <w:color w:val="1B1C1D"/>
              </w:rPr>
              <w:t>)</w:t>
            </w:r>
            <w:r w:rsidR="00000000" w:rsidRPr="00561BBC">
              <w:rPr>
                <w:rFonts w:ascii="Georgia" w:eastAsia="Google Sans Text" w:hAnsi="Georgia" w:cs="Google Sans Text"/>
                <w:color w:val="1B1C1D"/>
              </w:rPr>
              <w:t xml:space="preserve"> DDL</w:t>
            </w:r>
          </w:p>
        </w:tc>
      </w:tr>
      <w:tr w:rsidR="00B25D23" w:rsidRPr="00561BBC" w14:paraId="7B9995B2" w14:textId="77777777">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238791"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lastRenderedPageBreak/>
              <w:t>Subject to Metric Drift at scale</w:t>
            </w:r>
          </w:p>
        </w:tc>
        <w:tc>
          <w:tcPr>
            <w:tcW w:w="468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4B611" w14:textId="7AEEAAA6"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Guarantees consistency with the EDM</w:t>
            </w:r>
          </w:p>
        </w:tc>
      </w:tr>
    </w:tbl>
    <w:p w14:paraId="4E10C0AE" w14:textId="77777777" w:rsidR="00B25D23" w:rsidRPr="00561BBC" w:rsidRDefault="00000000">
      <w:pPr>
        <w:pStyle w:val="Heading3"/>
        <w:spacing w:before="480" w:after="120" w:line="275" w:lineRule="auto"/>
        <w:rPr>
          <w:rFonts w:ascii="Georgia" w:eastAsia="Google Sans" w:hAnsi="Georgia" w:cs="Google Sans"/>
          <w:color w:val="1B1C1D"/>
        </w:rPr>
      </w:pPr>
      <w:r w:rsidRPr="00561BBC">
        <w:rPr>
          <w:rFonts w:ascii="Georgia" w:eastAsia="Google Sans" w:hAnsi="Georgia" w:cs="Google Sans"/>
          <w:color w:val="1B1C1D"/>
        </w:rPr>
        <w:t>Goal</w:t>
      </w:r>
    </w:p>
    <w:p w14:paraId="73BCA627" w14:textId="412E10FC" w:rsidR="00B25D23" w:rsidRPr="00561BBC" w:rsidRDefault="00E64638">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Our work is a crucial expansion that allows the BEAM standard to oversee the entire metric lifecycle. This is accomplished by directly connecting the semantic intent of BEAM to the structural integrity of the EDM.</w:t>
      </w:r>
    </w:p>
    <w:p w14:paraId="273F294B" w14:textId="77777777" w:rsidR="00B25D23" w:rsidRPr="00561BBC" w:rsidRDefault="00000000">
      <w:pPr>
        <w:pStyle w:val="Heading2"/>
        <w:spacing w:before="0" w:after="120" w:line="275" w:lineRule="auto"/>
        <w:rPr>
          <w:rFonts w:ascii="Georgia" w:eastAsia="Google Sans" w:hAnsi="Georgia" w:cs="Google Sans"/>
          <w:color w:val="1B1C1D"/>
        </w:rPr>
      </w:pPr>
      <w:r w:rsidRPr="00561BBC">
        <w:rPr>
          <w:rFonts w:ascii="Georgia" w:eastAsia="Google Sans" w:hAnsi="Georgia" w:cs="Google Sans"/>
          <w:color w:val="1B1C1D"/>
        </w:rPr>
        <w:t>2. Essential Contractual Fields for Execution</w:t>
      </w:r>
    </w:p>
    <w:p w14:paraId="3D1FF74A" w14:textId="3E3CF795" w:rsidR="00B25D23" w:rsidRPr="00561BBC" w:rsidRDefault="00E64638">
      <w:pPr>
        <w:pBdr>
          <w:top w:val="nil"/>
          <w:left w:val="nil"/>
          <w:bottom w:val="nil"/>
          <w:right w:val="nil"/>
          <w:between w:val="nil"/>
        </w:pBdr>
        <w:spacing w:after="240" w:line="275" w:lineRule="auto"/>
        <w:rPr>
          <w:rFonts w:ascii="Georgia" w:eastAsia="Google Sans Text" w:hAnsi="Georgia" w:cs="Google Sans Text"/>
          <w:bCs/>
          <w:color w:val="1B1C1D"/>
        </w:rPr>
      </w:pPr>
      <w:r>
        <w:rPr>
          <w:rFonts w:ascii="Georgia" w:eastAsia="Google Sans Text" w:hAnsi="Georgia" w:cs="Google Sans Text"/>
          <w:bCs/>
          <w:color w:val="1B1C1D"/>
        </w:rPr>
        <w:t>While we could add these three contractual fields to our internal tools, we believe formalizing them as part of the official BEAM specification would improve your methodology more significantly. Integrating these fields directly into the BEAM standard ensures wider adoption, sustainable governance, and positions BEAM as the leading framework for automation-driven metric catalogs worldwide. Importantly, by making BEAM the definitive, executable source for the dbt Semantic Layer automation, we first attract data engineers and architects who seek efficiency through automation, and in doing so, we indirectly onboard them to the BEAM methodology and its principles.</w:t>
      </w:r>
    </w:p>
    <w:p w14:paraId="0E5EB1F2" w14:textId="6AEE429D" w:rsidR="00B25D23" w:rsidRPr="00561BBC" w:rsidRDefault="00E64638">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To convert the BEAM Table into an executable contract, we need to formally add three fields. These fields act as essential links between the business concept (defined in BEAM) and the underlying data structure (defined in the EDM).</w:t>
      </w:r>
    </w:p>
    <w:p w14:paraId="61DD3F25" w14:textId="77777777" w:rsidR="00B25D23" w:rsidRPr="00561BBC" w:rsidRDefault="00000000">
      <w:pPr>
        <w:pStyle w:val="Heading3"/>
        <w:spacing w:before="0" w:after="120" w:line="275" w:lineRule="auto"/>
        <w:rPr>
          <w:rFonts w:ascii="Georgia" w:eastAsia="Google Sans" w:hAnsi="Georgia" w:cs="Google Sans"/>
          <w:color w:val="1B1C1D"/>
        </w:rPr>
      </w:pPr>
      <w:r w:rsidRPr="00561BBC">
        <w:rPr>
          <w:rFonts w:ascii="Georgia" w:eastAsia="Google Sans" w:hAnsi="Georgia" w:cs="Google Sans"/>
          <w:color w:val="1B1C1D"/>
        </w:rPr>
        <w:t>Purpose</w:t>
      </w:r>
    </w:p>
    <w:p w14:paraId="7FCC4B0D" w14:textId="316766B1" w:rsidR="00B25D23" w:rsidRPr="00561BBC" w:rsidRDefault="00E64638">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These fields are crucial for the automation process to accurately enforce the BEAM standard by automatically generating the required metric aggregation and relationship logic in the Semantic Layer without manual intervention.</w:t>
      </w:r>
    </w:p>
    <w:p w14:paraId="5B681F0B" w14:textId="77777777" w:rsidR="00B25D23" w:rsidRPr="00561BBC" w:rsidRDefault="00000000">
      <w:pPr>
        <w:pStyle w:val="Heading3"/>
        <w:spacing w:before="0" w:after="120" w:line="275" w:lineRule="auto"/>
        <w:rPr>
          <w:rFonts w:ascii="Georgia" w:eastAsia="Google Sans" w:hAnsi="Georgia" w:cs="Google Sans"/>
          <w:color w:val="1B1C1D"/>
        </w:rPr>
      </w:pPr>
      <w:r w:rsidRPr="00561BBC">
        <w:rPr>
          <w:rFonts w:ascii="Georgia" w:eastAsia="Google Sans" w:hAnsi="Georgia" w:cs="Google Sans"/>
          <w:color w:val="1B1C1D"/>
        </w:rPr>
        <w:t>Mandatory Fields for the BEAM Table</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25D23" w:rsidRPr="00561BBC" w14:paraId="5F89345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7BC36F"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Field Name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55C61"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B5D405"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Contractual Purpose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93BB68" w14:textId="77777777" w:rsidR="00B25D23" w:rsidRPr="00561BBC" w:rsidRDefault="00000000">
            <w:pPr>
              <w:pBdr>
                <w:top w:val="nil"/>
                <w:left w:val="nil"/>
                <w:bottom w:val="nil"/>
                <w:right w:val="nil"/>
                <w:between w:val="nil"/>
              </w:pBdr>
              <w:spacing w:before="120" w:after="120" w:line="275" w:lineRule="auto"/>
              <w:rPr>
                <w:rFonts w:ascii="Georgia" w:eastAsia="Google Sans Text" w:hAnsi="Georgia" w:cs="Google Sans Text"/>
                <w:b/>
                <w:color w:val="1B1C1D"/>
              </w:rPr>
            </w:pPr>
            <w:r w:rsidRPr="00561BBC">
              <w:rPr>
                <w:rFonts w:ascii="Georgia" w:eastAsia="Google Sans Text" w:hAnsi="Georgia" w:cs="Google Sans Text"/>
                <w:b/>
                <w:color w:val="1B1C1D"/>
              </w:rPr>
              <w:t>Example Values</w:t>
            </w:r>
          </w:p>
        </w:tc>
      </w:tr>
      <w:tr w:rsidR="00B25D23" w:rsidRPr="00561BBC" w14:paraId="5ECBEAF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A9460"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b/>
                <w:color w:val="1B1C1D"/>
              </w:rPr>
              <w:t>PHYSICAL_EDM_TABLE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AF062" w14:textId="35357AB2"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 xml:space="preserve">The DDL name of the EDM </w:t>
            </w:r>
            <w:r w:rsidRPr="00561BBC">
              <w:rPr>
                <w:rFonts w:ascii="Georgia" w:eastAsia="Google Sans Text" w:hAnsi="Georgia" w:cs="Google Sans Text"/>
                <w:b/>
                <w:color w:val="1B1C1D"/>
              </w:rPr>
              <w:t>entity</w:t>
            </w:r>
            <w:r w:rsidRPr="00561BBC">
              <w:rPr>
                <w:rFonts w:ascii="Georgia" w:eastAsia="Google Sans Text" w:hAnsi="Georgia" w:cs="Google Sans Text"/>
                <w:color w:val="1B1C1D"/>
              </w:rPr>
              <w:t xml:space="preserve"> (Fact or Dimension) that contains the physical source column.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49A59" w14:textId="5FB0D761"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Ensures the metric is anchored to an approved, structurally validated EDM entity.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920B64"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proofErr w:type="spellStart"/>
            <w:r w:rsidRPr="00561BBC">
              <w:rPr>
                <w:rFonts w:ascii="Georgia" w:eastAsia="Google Sans Text" w:hAnsi="Georgia" w:cs="Google Sans Text"/>
                <w:color w:val="1B1C1D"/>
              </w:rPr>
              <w:t>fct_service_event</w:t>
            </w:r>
            <w:proofErr w:type="spellEnd"/>
            <w:r w:rsidRPr="00561BBC">
              <w:rPr>
                <w:rFonts w:ascii="Georgia" w:eastAsia="Google Sans Text" w:hAnsi="Georgia" w:cs="Google Sans Text"/>
                <w:color w:val="1B1C1D"/>
              </w:rPr>
              <w:t xml:space="preserve">, </w:t>
            </w:r>
            <w:proofErr w:type="spellStart"/>
            <w:r w:rsidRPr="00561BBC">
              <w:rPr>
                <w:rFonts w:ascii="Georgia" w:eastAsia="Google Sans Text" w:hAnsi="Georgia" w:cs="Google Sans Text"/>
                <w:color w:val="1B1C1D"/>
              </w:rPr>
              <w:t>ref_party</w:t>
            </w:r>
            <w:proofErr w:type="spellEnd"/>
          </w:p>
        </w:tc>
      </w:tr>
      <w:tr w:rsidR="00B25D23" w:rsidRPr="00561BBC" w14:paraId="6B16CF7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21EA9"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b/>
                <w:color w:val="1B1C1D"/>
              </w:rPr>
              <w:t>PHYSICAL_EDM_COLUMN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5F08D1" w14:textId="1E43807A"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 xml:space="preserve">The exact DDL column name used </w:t>
            </w:r>
            <w:r w:rsidRPr="00561BBC">
              <w:rPr>
                <w:rFonts w:ascii="Georgia" w:eastAsia="Google Sans Text" w:hAnsi="Georgia" w:cs="Google Sans Text"/>
                <w:color w:val="1B1C1D"/>
              </w:rPr>
              <w:lastRenderedPageBreak/>
              <w:t>to derive the measure.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E22871" w14:textId="1EA492CD"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lastRenderedPageBreak/>
              <w:t xml:space="preserve">Directly links the Business Analyst's </w:t>
            </w:r>
            <w:r w:rsidRPr="00561BBC">
              <w:rPr>
                <w:rFonts w:ascii="Georgia" w:eastAsia="Google Sans Text" w:hAnsi="Georgia" w:cs="Google Sans Text"/>
                <w:color w:val="1B1C1D"/>
              </w:rPr>
              <w:lastRenderedPageBreak/>
              <w:t>requirement to the atomic data point in the EDM.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67441"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proofErr w:type="spellStart"/>
            <w:r w:rsidRPr="00561BBC">
              <w:rPr>
                <w:rFonts w:ascii="Georgia" w:eastAsia="Google Sans Text" w:hAnsi="Georgia" w:cs="Google Sans Text"/>
                <w:color w:val="1B1C1D"/>
              </w:rPr>
              <w:lastRenderedPageBreak/>
              <w:t>billed_amount</w:t>
            </w:r>
            <w:proofErr w:type="spellEnd"/>
            <w:r w:rsidRPr="00561BBC">
              <w:rPr>
                <w:rFonts w:ascii="Georgia" w:eastAsia="Google Sans Text" w:hAnsi="Georgia" w:cs="Google Sans Text"/>
                <w:color w:val="1B1C1D"/>
              </w:rPr>
              <w:t xml:space="preserve">, </w:t>
            </w:r>
            <w:proofErr w:type="spellStart"/>
            <w:r w:rsidRPr="00561BBC">
              <w:rPr>
                <w:rFonts w:ascii="Georgia" w:eastAsia="Google Sans Text" w:hAnsi="Georgia" w:cs="Google Sans Text"/>
                <w:color w:val="1B1C1D"/>
              </w:rPr>
              <w:t>service_event_id</w:t>
            </w:r>
            <w:proofErr w:type="spellEnd"/>
          </w:p>
        </w:tc>
      </w:tr>
      <w:tr w:rsidR="00B25D23" w:rsidRPr="00561BBC" w14:paraId="15DCC79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1A048"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b/>
                <w:color w:val="1B1C1D"/>
              </w:rPr>
            </w:pPr>
            <w:r w:rsidRPr="00561BBC">
              <w:rPr>
                <w:rFonts w:ascii="Georgia" w:eastAsia="Google Sans Text" w:hAnsi="Georgia" w:cs="Google Sans Text"/>
                <w:b/>
                <w:color w:val="1B1C1D"/>
              </w:rPr>
              <w:t>AGGREGATION_TYPE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0ECFD5" w14:textId="2AA08B14"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 xml:space="preserve">The specific </w:t>
            </w:r>
            <w:proofErr w:type="spellStart"/>
            <w:r w:rsidRPr="00561BBC">
              <w:rPr>
                <w:rFonts w:ascii="Georgia" w:eastAsia="Google Sans Text" w:hAnsi="Georgia" w:cs="Google Sans Text"/>
                <w:color w:val="1B1C1D"/>
              </w:rPr>
              <w:t>MetricFlow</w:t>
            </w:r>
            <w:proofErr w:type="spellEnd"/>
            <w:r w:rsidRPr="00561BBC">
              <w:rPr>
                <w:rFonts w:ascii="Georgia" w:eastAsia="Google Sans Text" w:hAnsi="Georgia" w:cs="Google Sans Text"/>
                <w:color w:val="1B1C1D"/>
              </w:rPr>
              <w:t xml:space="preserve"> aggregation function (type) to be applied to the physical column.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480AE1" w14:textId="6C04587A"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Automates the measure definition, eliminating manual SQL coding for atomic measures.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D60DD1" w14:textId="77777777" w:rsidR="00B25D23" w:rsidRPr="00561BBC" w:rsidRDefault="00000000">
            <w:pPr>
              <w:pBdr>
                <w:top w:val="nil"/>
                <w:left w:val="nil"/>
                <w:bottom w:val="nil"/>
                <w:right w:val="nil"/>
                <w:between w:val="nil"/>
              </w:pBdr>
              <w:spacing w:line="275" w:lineRule="auto"/>
              <w:rPr>
                <w:rFonts w:ascii="Georgia" w:eastAsia="Google Sans Text" w:hAnsi="Georgia" w:cs="Google Sans Text"/>
                <w:color w:val="1B1C1D"/>
              </w:rPr>
            </w:pPr>
            <w:r w:rsidRPr="00561BBC">
              <w:rPr>
                <w:rFonts w:ascii="Georgia" w:eastAsia="Google Sans Text" w:hAnsi="Georgia" w:cs="Google Sans Text"/>
                <w:color w:val="1B1C1D"/>
              </w:rPr>
              <w:t>sum, count, count\_distinct</w:t>
            </w:r>
          </w:p>
        </w:tc>
      </w:tr>
    </w:tbl>
    <w:p w14:paraId="51E2D72F" w14:textId="1E798AFD" w:rsidR="00B25D23" w:rsidRPr="00561BBC" w:rsidRDefault="00E64638">
      <w:pPr>
        <w:pStyle w:val="Heading2"/>
        <w:spacing w:before="480" w:after="120" w:line="275" w:lineRule="auto"/>
        <w:rPr>
          <w:rFonts w:ascii="Georgia" w:eastAsia="Google Sans" w:hAnsi="Georgia" w:cs="Google Sans"/>
          <w:color w:val="1B1C1D"/>
        </w:rPr>
      </w:pPr>
      <w:r>
        <w:rPr>
          <w:rFonts w:ascii="Georgia" w:eastAsia="Google Sans" w:hAnsi="Georgia" w:cs="Google Sans"/>
          <w:color w:val="1B1C1D"/>
        </w:rPr>
        <w:t>Conclusion: Maintaining the Standard at Enterprise Level</w:t>
      </w:r>
    </w:p>
    <w:p w14:paraId="0665F74D" w14:textId="4B689FBF" w:rsidR="00B25D23" w:rsidRPr="00561BBC" w:rsidRDefault="00E64638">
      <w:pPr>
        <w:pBdr>
          <w:top w:val="nil"/>
          <w:left w:val="nil"/>
          <w:bottom w:val="nil"/>
          <w:right w:val="nil"/>
          <w:between w:val="nil"/>
        </w:pBdr>
        <w:spacing w:after="240" w:line="275" w:lineRule="auto"/>
        <w:rPr>
          <w:rFonts w:ascii="Georgia" w:eastAsia="Google Sans Text" w:hAnsi="Georgia" w:cs="Google Sans Text"/>
          <w:color w:val="1B1C1D"/>
        </w:rPr>
      </w:pPr>
      <w:r>
        <w:rPr>
          <w:rFonts w:ascii="Georgia" w:eastAsia="Google Sans Text" w:hAnsi="Georgia" w:cs="Google Sans Text"/>
          <w:color w:val="1B1C1D"/>
        </w:rPr>
        <w:t>By formalizing these contractual fields, the BEAM Table maintains its authoritative role in metric governance while also becoming the key driver for enterprise-wide metric consistency. This expansion ensures that the BEAM standard remains strong and directly enforceable in the most complex, automated, and AI-powered data environments.</w:t>
      </w:r>
    </w:p>
    <w:sectPr w:rsidR="00B25D23" w:rsidRPr="00561BB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263DA74F-7C6F-4153-8FED-8AC96E62D672}"/>
    <w:embedBold r:id="rId2" w:fontKey="{EEC2A9F1-6B7E-4DB1-923D-7F5C549901C5}"/>
    <w:embedItalic r:id="rId3" w:fontKey="{AEC4C8CF-58F1-4C82-B0B3-FEAB1A8C78B0}"/>
  </w:font>
  <w:font w:name="Google Sans">
    <w:charset w:val="00"/>
    <w:family w:val="auto"/>
    <w:pitch w:val="default"/>
    <w:embedRegular r:id="rId4" w:fontKey="{E45A5DED-C8DF-454D-A501-0C883D389D4D}"/>
    <w:embedBold r:id="rId5" w:fontKey="{7B5A8F2A-7A91-4BC1-99C7-EC5D133933D8}"/>
  </w:font>
  <w:font w:name="Segoe UI Emoji">
    <w:panose1 w:val="020B0502040204020203"/>
    <w:charset w:val="00"/>
    <w:family w:val="swiss"/>
    <w:pitch w:val="variable"/>
    <w:sig w:usb0="00000003" w:usb1="02000000" w:usb2="08000000" w:usb3="00000000" w:csb0="00000001" w:csb1="00000000"/>
    <w:embedRegular r:id="rId6" w:fontKey="{44C52715-3005-447F-A047-9066B86D7BD9}"/>
    <w:embedBold r:id="rId7" w:fontKey="{DD776202-1903-44FE-8EA6-14C6C8D618D1}"/>
  </w:font>
  <w:font w:name="Google Sans Text">
    <w:charset w:val="00"/>
    <w:family w:val="auto"/>
    <w:pitch w:val="default"/>
    <w:embedRegular r:id="rId8" w:fontKey="{42A2A66E-14D6-4584-A169-0585E0DE7820}"/>
    <w:embedBold r:id="rId9" w:fontKey="{086650EF-B43D-4BEC-9BDB-F4BBEC1E13F0}"/>
  </w:font>
  <w:font w:name="Calibri">
    <w:panose1 w:val="020F0502020204030204"/>
    <w:charset w:val="00"/>
    <w:family w:val="swiss"/>
    <w:pitch w:val="variable"/>
    <w:sig w:usb0="E4002EFF" w:usb1="C200247B" w:usb2="00000009" w:usb3="00000000" w:csb0="000001FF" w:csb1="00000000"/>
    <w:embedRegular r:id="rId10" w:fontKey="{C7A9577D-FD6F-4E2C-AB3D-F6F34C9E1377}"/>
  </w:font>
  <w:font w:name="Cambria">
    <w:panose1 w:val="02040503050406030204"/>
    <w:charset w:val="00"/>
    <w:family w:val="roman"/>
    <w:pitch w:val="variable"/>
    <w:sig w:usb0="E00006FF" w:usb1="420024FF" w:usb2="02000000" w:usb3="00000000" w:csb0="0000019F" w:csb1="00000000"/>
    <w:embedRegular r:id="rId11" w:fontKey="{CAA50FD9-0853-4021-B7E9-36D57E7651E5}"/>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D23"/>
    <w:rsid w:val="00561BBC"/>
    <w:rsid w:val="007D25C0"/>
    <w:rsid w:val="00B25D23"/>
    <w:rsid w:val="00CD550D"/>
    <w:rsid w:val="00E646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90A34D"/>
  <w15:docId w15:val="{9C8A0861-719F-4FA6-9236-6D2512F72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626</Words>
  <Characters>3776</Characters>
  <Application>Microsoft Office Word</Application>
  <DocSecurity>0</DocSecurity>
  <Lines>114</Lines>
  <Paragraphs>48</Paragraphs>
  <ScaleCrop>false</ScaleCrop>
  <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Ray Serrano</cp:lastModifiedBy>
  <cp:revision>4</cp:revision>
  <dcterms:created xsi:type="dcterms:W3CDTF">2025-10-30T15:38:00Z</dcterms:created>
  <dcterms:modified xsi:type="dcterms:W3CDTF">2025-10-30T15:52:00Z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3af724c7-e12b-4c60-a523-5a377e508352</vt:lpwstr>
  </property>
</Properties>
</file>